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F87C" w14:textId="0E017AFA" w:rsidR="0010231C" w:rsidRDefault="0010231C" w:rsidP="00281CB8">
      <w:pPr>
        <w:jc w:val="center"/>
        <w:rPr>
          <w:b/>
        </w:rPr>
      </w:pPr>
      <w:r w:rsidRPr="00633129">
        <w:rPr>
          <w:rFonts w:ascii="Calibri" w:hAnsi="Calibri"/>
          <w:noProof/>
        </w:rPr>
        <w:drawing>
          <wp:inline distT="0" distB="0" distL="0" distR="0" wp14:anchorId="69D7740D" wp14:editId="098C0F83">
            <wp:extent cx="1295302" cy="8293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354" cy="8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8800E" w14:textId="77777777" w:rsidR="0010231C" w:rsidRDefault="0010231C" w:rsidP="00281CB8">
      <w:pPr>
        <w:jc w:val="center"/>
        <w:rPr>
          <w:b/>
        </w:rPr>
      </w:pPr>
    </w:p>
    <w:p w14:paraId="34F09E9B" w14:textId="77777777" w:rsidR="0010231C" w:rsidRDefault="0010231C" w:rsidP="00281CB8">
      <w:pPr>
        <w:jc w:val="center"/>
        <w:rPr>
          <w:b/>
        </w:rPr>
      </w:pPr>
    </w:p>
    <w:p w14:paraId="3E06ACA9" w14:textId="47BC2D15" w:rsidR="00FF6396" w:rsidRDefault="00FF6396" w:rsidP="0010231C">
      <w:pPr>
        <w:rPr>
          <w:b/>
        </w:rPr>
      </w:pPr>
      <w:r w:rsidRPr="00281CB8">
        <w:rPr>
          <w:b/>
        </w:rPr>
        <w:t>Understanding Sexual and Gender Diversity</w:t>
      </w:r>
    </w:p>
    <w:p w14:paraId="56D2AE31" w14:textId="77777777" w:rsidR="00281CB8" w:rsidRPr="00281CB8" w:rsidRDefault="00281CB8" w:rsidP="00281CB8">
      <w:pPr>
        <w:jc w:val="center"/>
        <w:rPr>
          <w:b/>
        </w:rPr>
      </w:pPr>
    </w:p>
    <w:p w14:paraId="41D843FA" w14:textId="41A24E55" w:rsidR="00164F70" w:rsidRDefault="00164F70" w:rsidP="00FF6396"/>
    <w:p w14:paraId="375C0496" w14:textId="68663BD3" w:rsidR="00E360C6" w:rsidRDefault="00281CB8" w:rsidP="00321306">
      <w:pPr>
        <w:pStyle w:val="ListParagraph"/>
        <w:numPr>
          <w:ilvl w:val="0"/>
          <w:numId w:val="1"/>
        </w:numPr>
      </w:pPr>
      <w:r>
        <w:t xml:space="preserve">As the visibility of the LGBTQ community continues to grow, </w:t>
      </w:r>
      <w:r w:rsidR="004F0A08">
        <w:t xml:space="preserve">it is important to </w:t>
      </w:r>
      <w:r w:rsidR="00A16A31">
        <w:t>acknowledge that s</w:t>
      </w:r>
      <w:r w:rsidR="00E360C6">
        <w:t>exual and gender diversity have a</w:t>
      </w:r>
      <w:r w:rsidR="00C67C96">
        <w:t xml:space="preserve"> global</w:t>
      </w:r>
      <w:r w:rsidR="00E360C6">
        <w:t xml:space="preserve"> cultural history and sexuality and gender, though related, are two different components of identity and are not interchangeable. </w:t>
      </w:r>
    </w:p>
    <w:p w14:paraId="6ABA9FF3" w14:textId="14972BD6" w:rsidR="00512215" w:rsidRDefault="00512215" w:rsidP="00FF6396"/>
    <w:p w14:paraId="2C075867" w14:textId="6FE6E8B9" w:rsidR="0019169F" w:rsidRDefault="00221FF1" w:rsidP="00321306">
      <w:pPr>
        <w:pStyle w:val="ListParagraph"/>
        <w:numPr>
          <w:ilvl w:val="0"/>
          <w:numId w:val="1"/>
        </w:numPr>
      </w:pPr>
      <w:r>
        <w:t>Rather than being a modern concept or new phenomenon, the roots of sexual and gender diversity can be found in indigenous societies throughout the world, predating our current structure and language of LGBTQ</w:t>
      </w:r>
      <w:r w:rsidR="009B233E">
        <w:t xml:space="preserve"> identity</w:t>
      </w:r>
      <w:r>
        <w:t xml:space="preserve">.  </w:t>
      </w:r>
      <w:r w:rsidR="002B694C">
        <w:t>From t</w:t>
      </w:r>
      <w:r>
        <w:t xml:space="preserve">he Zapotec culture of Southern Mexico </w:t>
      </w:r>
      <w:r w:rsidR="002B694C">
        <w:t xml:space="preserve">recognizing </w:t>
      </w:r>
      <w:proofErr w:type="spellStart"/>
      <w:r w:rsidR="002B694C" w:rsidRPr="00321306">
        <w:rPr>
          <w:i/>
        </w:rPr>
        <w:t>muxes</w:t>
      </w:r>
      <w:proofErr w:type="spellEnd"/>
      <w:r w:rsidR="002B694C" w:rsidRPr="00321306">
        <w:rPr>
          <w:i/>
        </w:rPr>
        <w:t xml:space="preserve"> </w:t>
      </w:r>
      <w:r w:rsidR="002B694C">
        <w:t xml:space="preserve">as a third/mixed/hybrid gender to the </w:t>
      </w:r>
      <w:proofErr w:type="spellStart"/>
      <w:r w:rsidR="002B694C" w:rsidRPr="002B694C">
        <w:t>Zo’é</w:t>
      </w:r>
      <w:proofErr w:type="spellEnd"/>
      <w:r w:rsidR="002B694C" w:rsidRPr="002B694C">
        <w:t xml:space="preserve"> peoples</w:t>
      </w:r>
      <w:r w:rsidR="002B694C">
        <w:t xml:space="preserve"> of Amazonia who practice non-monogamy traditionally and same-sex relations documented in the pottery of the ancient Peruvian Moche culture, historical examples of sexual and gender fluidity are abundant. </w:t>
      </w:r>
    </w:p>
    <w:p w14:paraId="4A1253A0" w14:textId="77777777" w:rsidR="0019169F" w:rsidRDefault="0019169F" w:rsidP="002B694C"/>
    <w:p w14:paraId="706EA39F" w14:textId="525E55FE" w:rsidR="002B694C" w:rsidRPr="002B694C" w:rsidRDefault="002B694C" w:rsidP="00321306">
      <w:pPr>
        <w:pStyle w:val="ListParagraph"/>
        <w:numPr>
          <w:ilvl w:val="0"/>
          <w:numId w:val="1"/>
        </w:numPr>
      </w:pPr>
      <w:r>
        <w:t xml:space="preserve">The </w:t>
      </w:r>
      <w:r w:rsidR="0019169F">
        <w:t>idea of diversity is the allowance of a range of possibilities. Both sexuality and gender have more modernly been referenced as existing on a spectrum. Yet, this spectrum can often be restrictive when it has been used to classify people as being gay or straight, male or female, and it is</w:t>
      </w:r>
      <w:r w:rsidR="00CD28F1">
        <w:t xml:space="preserve"> at times </w:t>
      </w:r>
      <w:r w:rsidR="0019169F">
        <w:t>the in-between that can cause confusion or be negated altogether. Rather</w:t>
      </w:r>
      <w:r w:rsidR="009B233E">
        <w:t xml:space="preserve">, </w:t>
      </w:r>
      <w:r w:rsidR="0019169F">
        <w:t xml:space="preserve">sexual and gender diversity </w:t>
      </w:r>
      <w:r w:rsidR="009B233E">
        <w:t xml:space="preserve">exists </w:t>
      </w:r>
      <w:r w:rsidR="0019169F">
        <w:t xml:space="preserve">as a universe of options, as an expansiveness that allows for evolution and exploration to discover one’s identity and to build on the historical foundation of the community. </w:t>
      </w:r>
    </w:p>
    <w:p w14:paraId="06795C34" w14:textId="27E34070" w:rsidR="00512215" w:rsidRDefault="00512215" w:rsidP="00FF6396"/>
    <w:p w14:paraId="3CBF355A" w14:textId="56ABE5BC" w:rsidR="009F6877" w:rsidRDefault="0019169F" w:rsidP="00321306">
      <w:pPr>
        <w:pStyle w:val="ListParagraph"/>
        <w:numPr>
          <w:ilvl w:val="0"/>
          <w:numId w:val="1"/>
        </w:numPr>
      </w:pPr>
      <w:r>
        <w:t xml:space="preserve">In order to present this universe of options, it is important to provide distinction between sexuality and gender. While sexuality often refers to an individual’s physical, sexual, emotional, and/or romantic attraction and preferences towards </w:t>
      </w:r>
      <w:r w:rsidR="009B233E">
        <w:t>others</w:t>
      </w:r>
      <w:r>
        <w:t xml:space="preserve">, gender relates to one’s body and their innate sense of self. </w:t>
      </w:r>
      <w:r w:rsidR="00DB6DD7">
        <w:t xml:space="preserve">The LGBTQ acronym itself combines sexuality and gender which can often be misleading and is not comprehensive for the range of identities that may be applicable for a person. </w:t>
      </w:r>
      <w:r w:rsidR="00E619F0">
        <w:t xml:space="preserve">A plus (+) is often used when discussing the LGBTQ(+) community to account for the identities not explicitly named in the acronym. </w:t>
      </w:r>
    </w:p>
    <w:p w14:paraId="433F79E0" w14:textId="77777777" w:rsidR="009F6877" w:rsidRDefault="009F6877" w:rsidP="0019169F"/>
    <w:p w14:paraId="474B8E7C" w14:textId="1FA15FD9" w:rsidR="00DB6DD7" w:rsidRDefault="00BA4A2B" w:rsidP="00321306">
      <w:pPr>
        <w:pStyle w:val="ListParagraph"/>
        <w:numPr>
          <w:ilvl w:val="0"/>
          <w:numId w:val="1"/>
        </w:numPr>
      </w:pPr>
      <w:r>
        <w:t>Sexuality</w:t>
      </w:r>
      <w:r w:rsidR="009F6877">
        <w:t xml:space="preserve"> often but not always reference</w:t>
      </w:r>
      <w:r w:rsidR="00D06796">
        <w:t>s</w:t>
      </w:r>
      <w:r w:rsidR="009F6877">
        <w:t xml:space="preserve"> another person’s gender. </w:t>
      </w:r>
      <w:r w:rsidR="00CE518E">
        <w:t xml:space="preserve">For example, someone who is asexual does not experience sexual attraction to anyone, regardless of their gender while a bisexual may have attractions to someone who is their gender </w:t>
      </w:r>
      <w:r w:rsidR="009B233E">
        <w:t>in addition</w:t>
      </w:r>
      <w:r w:rsidR="00CE518E">
        <w:t xml:space="preserve"> to another gender. </w:t>
      </w:r>
      <w:r w:rsidR="009F6877">
        <w:t xml:space="preserve">In regards to gender, it is necessary to distinguish between </w:t>
      </w:r>
      <w:r w:rsidR="009F6877">
        <w:lastRenderedPageBreak/>
        <w:t xml:space="preserve">sex and gender. Sex is a designation at birth based upon </w:t>
      </w:r>
      <w:r w:rsidR="00CE518E">
        <w:t xml:space="preserve">visible anatomy </w:t>
      </w:r>
      <w:r w:rsidR="009F6877">
        <w:t xml:space="preserve">and listed on one’s birth certificate typically as male or female. This may exclude Intersex individuals who may have a reproductive or sexual anatomy that exists outside of the strictly binary designations of male or female. If a person identifies with their sex designation from birth, they are cisgender. If one’s identity differs from this sex designation, they are transgender. </w:t>
      </w:r>
      <w:r w:rsidR="005D0CB7">
        <w:t>Transgender</w:t>
      </w:r>
      <w:r w:rsidR="009F6877">
        <w:t xml:space="preserve"> is an umbrella term that includes a vast array of gender possibilities. Both cisgender and transgender people can also have a range of sexualities.</w:t>
      </w:r>
      <w:r w:rsidR="00CE518E">
        <w:t xml:space="preserve"> A transgender woman can be a lesbian who is attracted to women who may be cisgender or transgender. </w:t>
      </w:r>
    </w:p>
    <w:p w14:paraId="5330547B" w14:textId="77777777" w:rsidR="00DB6DD7" w:rsidRDefault="00DB6DD7" w:rsidP="0019169F"/>
    <w:p w14:paraId="73FBD673" w14:textId="597EBEE3" w:rsidR="00164F70" w:rsidRDefault="00DB6DD7" w:rsidP="00321306">
      <w:pPr>
        <w:pStyle w:val="ListParagraph"/>
        <w:numPr>
          <w:ilvl w:val="0"/>
          <w:numId w:val="1"/>
        </w:numPr>
      </w:pPr>
      <w:r>
        <w:t>While</w:t>
      </w:r>
      <w:r w:rsidR="0019169F">
        <w:t xml:space="preserve"> </w:t>
      </w:r>
      <w:r>
        <w:t>t</w:t>
      </w:r>
      <w:r w:rsidR="0019169F">
        <w:t>here is no definitive list of how many sexualities and genders exist</w:t>
      </w:r>
      <w:r>
        <w:t xml:space="preserve">, we must remember that languages and identities are constantly evolving. </w:t>
      </w:r>
      <w:r w:rsidR="00CE518E">
        <w:t xml:space="preserve">What we know to be true about ourselves cannot always be named but can be felt. </w:t>
      </w:r>
      <w:r>
        <w:t xml:space="preserve">Providing individuals the language and/or the opportunity to define for themselves who they are is a form of empowerment we all must continue to encourage. </w:t>
      </w:r>
    </w:p>
    <w:p w14:paraId="2E91F4A3" w14:textId="3062DD1E" w:rsidR="00281CB8" w:rsidRDefault="00281CB8">
      <w:bookmarkStart w:id="0" w:name="_GoBack"/>
      <w:bookmarkEnd w:id="0"/>
    </w:p>
    <w:p w14:paraId="5BC9A1D0" w14:textId="0CE76184" w:rsidR="00281CB8" w:rsidRDefault="005271A3">
      <w:pPr>
        <w:rPr>
          <w:b/>
        </w:rPr>
      </w:pPr>
      <w:r w:rsidRPr="005271A3">
        <w:rPr>
          <w:b/>
        </w:rPr>
        <w:t xml:space="preserve">What can we do? </w:t>
      </w:r>
    </w:p>
    <w:p w14:paraId="2394ABB1" w14:textId="26A46B81" w:rsidR="00A43E70" w:rsidRDefault="00A43E70"/>
    <w:p w14:paraId="0CBCF7FA" w14:textId="7D6118DD" w:rsidR="00A43E70" w:rsidRDefault="00A43E70">
      <w:r>
        <w:t xml:space="preserve">To be an LGBTQ ally requires a willingness to educate </w:t>
      </w:r>
      <w:r w:rsidR="007520FD">
        <w:t xml:space="preserve">others about the discrimination and violence the community faces, to dispel stereotypes and misconceptions, and to uplift and center voices of the community. </w:t>
      </w:r>
      <w:r w:rsidR="00A763AD">
        <w:t xml:space="preserve">Educating oneself about the cultural and revolutionary history of sexual and gender diversity is vital to ally ship.  </w:t>
      </w:r>
    </w:p>
    <w:p w14:paraId="1103CD20" w14:textId="77777777" w:rsidR="00B142B6" w:rsidRDefault="00B142B6"/>
    <w:p w14:paraId="37EDEC7A" w14:textId="2B6A8EAB" w:rsidR="007520FD" w:rsidRPr="00A43E70" w:rsidRDefault="00A763AD">
      <w:r>
        <w:t>Likewise,</w:t>
      </w:r>
      <w:r w:rsidR="007520FD">
        <w:t xml:space="preserve"> for members of the LGBTQ community, we must be allies to each other as part of a shared struggle and shared pride. </w:t>
      </w:r>
      <w:r w:rsidR="00B142B6">
        <w:t>I</w:t>
      </w:r>
      <w:r w:rsidR="00CE518E">
        <w:t xml:space="preserve">n the legacy of </w:t>
      </w:r>
      <w:r w:rsidR="00B142B6">
        <w:t xml:space="preserve">our diversity lies our beauty and our strength.  </w:t>
      </w:r>
    </w:p>
    <w:p w14:paraId="29B31778" w14:textId="384369F9" w:rsidR="00960763" w:rsidRDefault="00960763">
      <w:pPr>
        <w:rPr>
          <w:b/>
        </w:rPr>
      </w:pPr>
    </w:p>
    <w:p w14:paraId="25C9580B" w14:textId="77777777" w:rsidR="00960763" w:rsidRPr="005271A3" w:rsidRDefault="00960763">
      <w:pPr>
        <w:rPr>
          <w:b/>
        </w:rPr>
      </w:pPr>
    </w:p>
    <w:p w14:paraId="31555270" w14:textId="26E370ED" w:rsidR="00281CB8" w:rsidRDefault="00321306" w:rsidP="00281CB8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6" w:history="1">
        <w:r w:rsidR="00281CB8" w:rsidRPr="00281CB8">
          <w:rPr>
            <w:rFonts w:ascii="Times New Roman" w:eastAsia="Times New Roman" w:hAnsi="Times New Roman" w:cs="Times New Roman"/>
            <w:color w:val="0000FF"/>
            <w:u w:val="single"/>
          </w:rPr>
          <w:t>https://www.genderspectrum.org/articles/understanding-gender</w:t>
        </w:r>
      </w:hyperlink>
    </w:p>
    <w:p w14:paraId="6E549D52" w14:textId="17F5AAF0" w:rsidR="00304CEF" w:rsidRDefault="00321306" w:rsidP="00304CEF">
      <w:pPr>
        <w:rPr>
          <w:rStyle w:val="Hyperlink"/>
        </w:rPr>
      </w:pPr>
      <w:hyperlink r:id="rId7" w:history="1">
        <w:r w:rsidR="00304CEF">
          <w:rPr>
            <w:rStyle w:val="Hyperlink"/>
          </w:rPr>
          <w:t>https://www.e-ir.info/2019/08/20/indigenous-sexualities-resisting-conquest-and-translation/</w:t>
        </w:r>
      </w:hyperlink>
    </w:p>
    <w:p w14:paraId="6C259AD4" w14:textId="77777777" w:rsidR="009B233E" w:rsidRDefault="00321306" w:rsidP="009B233E">
      <w:hyperlink r:id="rId8" w:anchor="a-c" w:history="1">
        <w:r w:rsidR="009B233E">
          <w:rPr>
            <w:rStyle w:val="Hyperlink"/>
          </w:rPr>
          <w:t>https://www.healthline.com/health/different-types-of-sexuality#a-c</w:t>
        </w:r>
      </w:hyperlink>
    </w:p>
    <w:p w14:paraId="1FFCB723" w14:textId="77777777" w:rsidR="009B233E" w:rsidRDefault="00321306" w:rsidP="009B233E">
      <w:hyperlink r:id="rId9" w:anchor="a-d" w:history="1">
        <w:r w:rsidR="009B233E">
          <w:rPr>
            <w:rStyle w:val="Hyperlink"/>
          </w:rPr>
          <w:t>https://www.healthline.com/health/different-genders#a-d</w:t>
        </w:r>
      </w:hyperlink>
    </w:p>
    <w:p w14:paraId="46AB80D2" w14:textId="77777777" w:rsidR="009B233E" w:rsidRDefault="009B233E" w:rsidP="00304CEF"/>
    <w:p w14:paraId="61B59014" w14:textId="77777777" w:rsidR="006E111C" w:rsidRPr="00221FF1" w:rsidRDefault="006E111C">
      <w:pPr>
        <w:rPr>
          <w:strike/>
        </w:rPr>
      </w:pPr>
    </w:p>
    <w:sectPr w:rsidR="006E111C" w:rsidRPr="00221FF1" w:rsidSect="00FC4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2E28"/>
    <w:multiLevelType w:val="hybridMultilevel"/>
    <w:tmpl w:val="D4FA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96"/>
    <w:rsid w:val="00003E8D"/>
    <w:rsid w:val="00090806"/>
    <w:rsid w:val="0010231C"/>
    <w:rsid w:val="00164F70"/>
    <w:rsid w:val="0019169F"/>
    <w:rsid w:val="001A5E8C"/>
    <w:rsid w:val="00221FF1"/>
    <w:rsid w:val="00281CB8"/>
    <w:rsid w:val="002B694C"/>
    <w:rsid w:val="00304CEF"/>
    <w:rsid w:val="00321306"/>
    <w:rsid w:val="003A058D"/>
    <w:rsid w:val="004F0A08"/>
    <w:rsid w:val="00512215"/>
    <w:rsid w:val="005271A3"/>
    <w:rsid w:val="005D0CB7"/>
    <w:rsid w:val="006E111C"/>
    <w:rsid w:val="007520FD"/>
    <w:rsid w:val="008A4887"/>
    <w:rsid w:val="00960763"/>
    <w:rsid w:val="009B233E"/>
    <w:rsid w:val="009F6877"/>
    <w:rsid w:val="00A16A31"/>
    <w:rsid w:val="00A43E70"/>
    <w:rsid w:val="00A763AD"/>
    <w:rsid w:val="00B142B6"/>
    <w:rsid w:val="00BA4A2B"/>
    <w:rsid w:val="00C67C96"/>
    <w:rsid w:val="00CD28F1"/>
    <w:rsid w:val="00CE518E"/>
    <w:rsid w:val="00D06796"/>
    <w:rsid w:val="00D91BD2"/>
    <w:rsid w:val="00DB6DD7"/>
    <w:rsid w:val="00E360C6"/>
    <w:rsid w:val="00E619F0"/>
    <w:rsid w:val="00F31DED"/>
    <w:rsid w:val="00F542C8"/>
    <w:rsid w:val="00FC4525"/>
    <w:rsid w:val="00FD284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27C3"/>
  <w15:chartTrackingRefBased/>
  <w15:docId w15:val="{ADB08542-349D-1F42-AC55-5DC56D33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1C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2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1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line.com/health/different-types-of-sexua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ir.info/2019/08/20/indigenous-sexualities-resisting-conquest-and-transl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derspectrum.org/articles/understanding-gend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health/different-g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Carcaño</dc:creator>
  <cp:keywords/>
  <dc:description/>
  <cp:lastModifiedBy>Leandro Rodriguez</cp:lastModifiedBy>
  <cp:revision>17</cp:revision>
  <dcterms:created xsi:type="dcterms:W3CDTF">2020-05-06T22:28:00Z</dcterms:created>
  <dcterms:modified xsi:type="dcterms:W3CDTF">2020-05-13T23:54:00Z</dcterms:modified>
</cp:coreProperties>
</file>