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5766" w14:textId="1EAAC9FE" w:rsidR="00D249E4" w:rsidRDefault="00D249E4" w:rsidP="00D249E4">
      <w:pPr>
        <w:jc w:val="center"/>
        <w:rPr>
          <w:b/>
          <w:bCs/>
          <w:color w:val="000000" w:themeColor="text1"/>
        </w:rPr>
      </w:pPr>
      <w:r w:rsidRPr="00633129">
        <w:rPr>
          <w:rFonts w:ascii="Calibri" w:hAnsi="Calibri"/>
          <w:noProof/>
        </w:rPr>
        <w:drawing>
          <wp:inline distT="0" distB="0" distL="0" distR="0" wp14:anchorId="3BA7587A" wp14:editId="1DFA1956">
            <wp:extent cx="1295302" cy="8293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1308354" cy="837667"/>
                    </a:xfrm>
                    <a:prstGeom prst="rect">
                      <a:avLst/>
                    </a:prstGeom>
                  </pic:spPr>
                </pic:pic>
              </a:graphicData>
            </a:graphic>
          </wp:inline>
        </w:drawing>
      </w:r>
    </w:p>
    <w:p w14:paraId="1913CF45" w14:textId="77777777" w:rsidR="00D249E4" w:rsidRDefault="00D249E4" w:rsidP="00D249E4">
      <w:pPr>
        <w:jc w:val="center"/>
        <w:rPr>
          <w:b/>
          <w:bCs/>
          <w:color w:val="000000" w:themeColor="text1"/>
        </w:rPr>
      </w:pPr>
    </w:p>
    <w:p w14:paraId="6CCDD55C" w14:textId="77777777" w:rsidR="00D249E4" w:rsidRDefault="00D249E4" w:rsidP="00C2450D">
      <w:pPr>
        <w:jc w:val="center"/>
        <w:rPr>
          <w:b/>
          <w:bCs/>
          <w:color w:val="000000" w:themeColor="text1"/>
        </w:rPr>
      </w:pPr>
    </w:p>
    <w:p w14:paraId="1CE117EB" w14:textId="47E9A48D" w:rsidR="0081636F" w:rsidRPr="00B42D87" w:rsidRDefault="0031100B" w:rsidP="00D249E4">
      <w:pPr>
        <w:rPr>
          <w:b/>
          <w:bCs/>
          <w:color w:val="000000" w:themeColor="text1"/>
        </w:rPr>
      </w:pPr>
      <w:r w:rsidRPr="00B42D87">
        <w:rPr>
          <w:b/>
          <w:bCs/>
          <w:color w:val="000000" w:themeColor="text1"/>
        </w:rPr>
        <w:t>Homophobia and Civil Engagement (The Equality Act)</w:t>
      </w:r>
    </w:p>
    <w:p w14:paraId="62CA1AD9" w14:textId="0824FB4F" w:rsidR="0031100B" w:rsidRPr="00B42D87" w:rsidRDefault="0031100B" w:rsidP="00B42D87">
      <w:pPr>
        <w:rPr>
          <w:color w:val="000000" w:themeColor="text1"/>
        </w:rPr>
      </w:pPr>
    </w:p>
    <w:p w14:paraId="4EB6C1FB" w14:textId="31CF4934" w:rsidR="00B42D87" w:rsidRPr="00B42D87" w:rsidRDefault="00B42D87" w:rsidP="00B42D87">
      <w:pPr>
        <w:rPr>
          <w:color w:val="000000" w:themeColor="text1"/>
        </w:rPr>
      </w:pPr>
    </w:p>
    <w:p w14:paraId="750E4224" w14:textId="197FA44D" w:rsidR="0031100B" w:rsidRPr="00D249E4" w:rsidRDefault="0031100B" w:rsidP="00D249E4">
      <w:pPr>
        <w:pStyle w:val="ListParagraph"/>
        <w:numPr>
          <w:ilvl w:val="0"/>
          <w:numId w:val="2"/>
        </w:numPr>
        <w:spacing w:line="276" w:lineRule="auto"/>
        <w:rPr>
          <w:color w:val="000000" w:themeColor="text1"/>
        </w:rPr>
      </w:pPr>
      <w:r w:rsidRPr="00D249E4">
        <w:rPr>
          <w:color w:val="000000" w:themeColor="text1"/>
        </w:rPr>
        <w:t>Despite significant steps forward, lesbian, gay, bisexual, transgender, and queer </w:t>
      </w:r>
      <w:hyperlink r:id="rId6" w:tgtFrame="_blank" w:history="1">
        <w:r w:rsidRPr="00D249E4">
          <w:rPr>
            <w:rStyle w:val="Hyperlink"/>
            <w:color w:val="000000" w:themeColor="text1"/>
            <w:u w:val="none"/>
          </w:rPr>
          <w:t>(LGBTQ) Americans lack basic legal protections in states across the country</w:t>
        </w:r>
      </w:hyperlink>
      <w:r w:rsidRPr="00D249E4">
        <w:rPr>
          <w:color w:val="000000" w:themeColor="text1"/>
        </w:rPr>
        <w:t>. The patchwork nature of current laws leaves millions of people subject to uncertainty and potential discrimination that impacts their safety, their families, and their day-to-day lives.</w:t>
      </w:r>
    </w:p>
    <w:p w14:paraId="51AAF06F" w14:textId="77777777" w:rsidR="00D249E4" w:rsidRDefault="00D249E4" w:rsidP="00D249E4">
      <w:pPr>
        <w:spacing w:line="276" w:lineRule="auto"/>
        <w:rPr>
          <w:color w:val="000000" w:themeColor="text1"/>
        </w:rPr>
      </w:pPr>
    </w:p>
    <w:p w14:paraId="3F0C5876" w14:textId="695A8B9D" w:rsidR="0031100B" w:rsidRPr="00D249E4" w:rsidRDefault="0031100B" w:rsidP="00D249E4">
      <w:pPr>
        <w:pStyle w:val="ListParagraph"/>
        <w:numPr>
          <w:ilvl w:val="0"/>
          <w:numId w:val="2"/>
        </w:numPr>
        <w:spacing w:line="276" w:lineRule="auto"/>
        <w:rPr>
          <w:color w:val="000000" w:themeColor="text1"/>
        </w:rPr>
      </w:pPr>
      <w:r w:rsidRPr="00D249E4">
        <w:rPr>
          <w:color w:val="000000" w:themeColor="text1"/>
        </w:rPr>
        <w:t>Our nation’s civil rights laws protect people on the basis of race, color, national origin, and in most cases, sex, disability, and religion. But federal law does not provide consistent non-discrimination protections based on sexual orientation or gender identity. The need for these protections is clear—nearly two-thirds of LGBTQ Americans report having experienced discrimination in their personal lives. </w:t>
      </w:r>
    </w:p>
    <w:p w14:paraId="37301D96" w14:textId="77777777" w:rsidR="00D249E4" w:rsidRDefault="00D249E4" w:rsidP="00D249E4">
      <w:pPr>
        <w:spacing w:line="276" w:lineRule="auto"/>
        <w:rPr>
          <w:color w:val="000000" w:themeColor="text1"/>
        </w:rPr>
      </w:pPr>
    </w:p>
    <w:p w14:paraId="16C51229" w14:textId="25D6A978" w:rsidR="0097205F" w:rsidRPr="00D249E4" w:rsidRDefault="0097205F" w:rsidP="00D249E4">
      <w:pPr>
        <w:pStyle w:val="ListParagraph"/>
        <w:numPr>
          <w:ilvl w:val="0"/>
          <w:numId w:val="2"/>
        </w:numPr>
        <w:spacing w:line="276" w:lineRule="auto"/>
        <w:rPr>
          <w:color w:val="000000" w:themeColor="text1"/>
        </w:rPr>
      </w:pPr>
      <w:r w:rsidRPr="00D249E4">
        <w:rPr>
          <w:color w:val="000000" w:themeColor="text1"/>
        </w:rPr>
        <w:t>The Equality Act would provide consistent and explicit non-discrimination protections for LGBTQ people across key areas of life, including </w:t>
      </w:r>
      <w:hyperlink r:id="rId7" w:history="1">
        <w:r w:rsidRPr="00D249E4">
          <w:rPr>
            <w:rStyle w:val="Hyperlink"/>
            <w:color w:val="000000" w:themeColor="text1"/>
            <w:u w:val="none"/>
          </w:rPr>
          <w:t>employment, housing, credit, education, public spaces and services, federally funded programs, and jury service.</w:t>
        </w:r>
      </w:hyperlink>
      <w:r w:rsidRPr="00D249E4">
        <w:rPr>
          <w:color w:val="000000" w:themeColor="text1"/>
        </w:rPr>
        <w:t> </w:t>
      </w:r>
    </w:p>
    <w:p w14:paraId="31C2211F" w14:textId="77777777" w:rsidR="00D249E4" w:rsidRDefault="00D249E4" w:rsidP="00D249E4">
      <w:pPr>
        <w:spacing w:line="276" w:lineRule="auto"/>
        <w:rPr>
          <w:color w:val="000000" w:themeColor="text1"/>
        </w:rPr>
      </w:pPr>
    </w:p>
    <w:p w14:paraId="34A30EF9" w14:textId="4BEBD7C9" w:rsidR="0097205F" w:rsidRPr="00D249E4" w:rsidRDefault="0097205F" w:rsidP="00D249E4">
      <w:pPr>
        <w:pStyle w:val="ListParagraph"/>
        <w:numPr>
          <w:ilvl w:val="0"/>
          <w:numId w:val="2"/>
        </w:numPr>
        <w:spacing w:line="276" w:lineRule="auto"/>
        <w:rPr>
          <w:color w:val="000000" w:themeColor="text1"/>
        </w:rPr>
      </w:pPr>
      <w:r w:rsidRPr="00D249E4">
        <w:rPr>
          <w:color w:val="000000" w:themeColor="text1"/>
        </w:rPr>
        <w:t xml:space="preserve">Decades of civil rights history show that civil rights laws are effective in decreasing discrimination because they provide strong federal remedies targeted to specific vulnerable groups. By explicitly including sexual orientation and gender identity in these fundamental laws, LGBTQ people will finally be afforded the exact same protections as </w:t>
      </w:r>
      <w:bookmarkStart w:id="0" w:name="_GoBack"/>
      <w:bookmarkEnd w:id="0"/>
      <w:r w:rsidRPr="00D249E4">
        <w:rPr>
          <w:color w:val="000000" w:themeColor="text1"/>
        </w:rPr>
        <w:t>other covered characteristics under federal law</w:t>
      </w:r>
    </w:p>
    <w:p w14:paraId="0B16DC08" w14:textId="42DC22B0" w:rsidR="0097205F" w:rsidRPr="00B42D87" w:rsidRDefault="0097205F" w:rsidP="00B42D87">
      <w:pPr>
        <w:spacing w:line="276" w:lineRule="auto"/>
        <w:rPr>
          <w:color w:val="000000" w:themeColor="text1"/>
        </w:rPr>
      </w:pPr>
    </w:p>
    <w:p w14:paraId="2874EE72" w14:textId="77777777" w:rsidR="00B42D87" w:rsidRPr="00F4017C" w:rsidRDefault="00B42D87" w:rsidP="00B42D87">
      <w:pPr>
        <w:spacing w:line="276" w:lineRule="auto"/>
        <w:rPr>
          <w:b/>
          <w:bCs/>
          <w:color w:val="000000" w:themeColor="text1"/>
        </w:rPr>
      </w:pPr>
      <w:r w:rsidRPr="00F4017C">
        <w:rPr>
          <w:b/>
          <w:bCs/>
          <w:color w:val="000000" w:themeColor="text1"/>
        </w:rPr>
        <w:t>What can we do?</w:t>
      </w:r>
    </w:p>
    <w:p w14:paraId="0BC51087" w14:textId="77777777" w:rsidR="00B42D87" w:rsidRDefault="00B42D87" w:rsidP="00B42D87">
      <w:pPr>
        <w:spacing w:line="276" w:lineRule="auto"/>
        <w:rPr>
          <w:color w:val="000000" w:themeColor="text1"/>
        </w:rPr>
      </w:pPr>
    </w:p>
    <w:p w14:paraId="0BB2C742" w14:textId="77777777" w:rsidR="00D249E4" w:rsidRDefault="00632710" w:rsidP="001424CA">
      <w:pPr>
        <w:spacing w:line="276" w:lineRule="auto"/>
        <w:ind w:firstLine="720"/>
        <w:rPr>
          <w:color w:val="000000" w:themeColor="text1"/>
        </w:rPr>
      </w:pPr>
      <w:r w:rsidRPr="00632710">
        <w:rPr>
          <w:color w:val="000000" w:themeColor="text1"/>
        </w:rPr>
        <w:t>The Equality Act passed the House of Representatives on May 17, 2019. As of April 15, 2020, the bill has not been taken up in the Senate</w:t>
      </w:r>
      <w:r>
        <w:rPr>
          <w:color w:val="000000" w:themeColor="text1"/>
        </w:rPr>
        <w:t xml:space="preserve">. </w:t>
      </w:r>
    </w:p>
    <w:p w14:paraId="747EB15C" w14:textId="77777777" w:rsidR="00D249E4" w:rsidRDefault="00D249E4" w:rsidP="00D249E4">
      <w:pPr>
        <w:spacing w:line="276" w:lineRule="auto"/>
        <w:rPr>
          <w:color w:val="000000" w:themeColor="text1"/>
        </w:rPr>
      </w:pPr>
    </w:p>
    <w:p w14:paraId="733017B0" w14:textId="77777777" w:rsidR="00D249E4" w:rsidRDefault="00B42D87" w:rsidP="00D249E4">
      <w:pPr>
        <w:pStyle w:val="ListParagraph"/>
        <w:numPr>
          <w:ilvl w:val="0"/>
          <w:numId w:val="1"/>
        </w:numPr>
        <w:spacing w:line="276" w:lineRule="auto"/>
        <w:rPr>
          <w:color w:val="000000" w:themeColor="text1"/>
        </w:rPr>
      </w:pPr>
      <w:r w:rsidRPr="00D249E4">
        <w:rPr>
          <w:color w:val="000000" w:themeColor="text1"/>
        </w:rPr>
        <w:t xml:space="preserve">We need the U.S. Senate to act! </w:t>
      </w:r>
    </w:p>
    <w:p w14:paraId="6AE74B33" w14:textId="77777777" w:rsidR="00D249E4" w:rsidRDefault="00B42D87" w:rsidP="00D249E4">
      <w:pPr>
        <w:pStyle w:val="ListParagraph"/>
        <w:numPr>
          <w:ilvl w:val="0"/>
          <w:numId w:val="1"/>
        </w:numPr>
        <w:spacing w:line="276" w:lineRule="auto"/>
        <w:rPr>
          <w:color w:val="000000" w:themeColor="text1"/>
        </w:rPr>
      </w:pPr>
      <w:r w:rsidRPr="00D249E4">
        <w:rPr>
          <w:color w:val="000000" w:themeColor="text1"/>
        </w:rPr>
        <w:t xml:space="preserve">Tell your Senators to pass for the Equality Act! </w:t>
      </w:r>
    </w:p>
    <w:p w14:paraId="2791FEEC" w14:textId="77777777" w:rsidR="00D249E4" w:rsidRDefault="00B42D87" w:rsidP="00D249E4">
      <w:pPr>
        <w:pStyle w:val="ListParagraph"/>
        <w:numPr>
          <w:ilvl w:val="0"/>
          <w:numId w:val="1"/>
        </w:numPr>
        <w:spacing w:line="276" w:lineRule="auto"/>
        <w:rPr>
          <w:color w:val="000000" w:themeColor="text1"/>
        </w:rPr>
      </w:pPr>
      <w:r w:rsidRPr="00D249E4">
        <w:rPr>
          <w:color w:val="000000" w:themeColor="text1"/>
        </w:rPr>
        <w:t xml:space="preserve">Your voice is needed to change history! </w:t>
      </w:r>
    </w:p>
    <w:p w14:paraId="12A2688E" w14:textId="463CDA5D" w:rsidR="00F4017C" w:rsidRPr="00D249E4" w:rsidRDefault="00B42D87" w:rsidP="00D249E4">
      <w:pPr>
        <w:pStyle w:val="ListParagraph"/>
        <w:numPr>
          <w:ilvl w:val="0"/>
          <w:numId w:val="1"/>
        </w:numPr>
        <w:spacing w:line="276" w:lineRule="auto"/>
        <w:rPr>
          <w:color w:val="000000" w:themeColor="text1"/>
        </w:rPr>
      </w:pPr>
      <w:r w:rsidRPr="00D249E4">
        <w:rPr>
          <w:color w:val="000000" w:themeColor="text1"/>
        </w:rPr>
        <w:lastRenderedPageBreak/>
        <w:t>It’s been 50 years since Stonewall and 45 years since the first version of the bill was introduced. Tell your Senators: “I need explicit federal nondiscrimination laws that will protect </w:t>
      </w:r>
      <w:hyperlink r:id="rId8" w:history="1">
        <w:r w:rsidRPr="00D249E4">
          <w:rPr>
            <w:rStyle w:val="Hyperlink"/>
            <w:color w:val="000000" w:themeColor="text1"/>
            <w:u w:val="none"/>
          </w:rPr>
          <w:t>all of me, all the time</w:t>
        </w:r>
      </w:hyperlink>
      <w:r w:rsidRPr="00D249E4">
        <w:rPr>
          <w:color w:val="000000" w:themeColor="text1"/>
        </w:rPr>
        <w:t>.</w:t>
      </w:r>
      <w:r w:rsidR="00F4017C" w:rsidRPr="00D249E4">
        <w:rPr>
          <w:color w:val="000000" w:themeColor="text1"/>
        </w:rPr>
        <w:t>”</w:t>
      </w:r>
    </w:p>
    <w:p w14:paraId="20D59B6B" w14:textId="3FA5DDA6" w:rsidR="00F4017C" w:rsidRPr="00B42D87" w:rsidRDefault="00F4017C" w:rsidP="00F4017C">
      <w:pPr>
        <w:spacing w:line="276" w:lineRule="auto"/>
        <w:ind w:firstLine="720"/>
        <w:rPr>
          <w:color w:val="000000" w:themeColor="text1"/>
        </w:rPr>
      </w:pPr>
      <w:r>
        <w:rPr>
          <w:color w:val="000000" w:themeColor="text1"/>
        </w:rPr>
        <w:t>The Task Force Action Fund has created a template you can fill out to tell your Senate to act on it:</w:t>
      </w:r>
    </w:p>
    <w:p w14:paraId="2FD4EEDE" w14:textId="2FB86D47" w:rsidR="00B42D87" w:rsidRDefault="00B42D87" w:rsidP="00B42D87">
      <w:pPr>
        <w:spacing w:line="276" w:lineRule="auto"/>
        <w:rPr>
          <w:rFonts w:ascii="Times New Roman" w:eastAsia="Times New Roman" w:hAnsi="Times New Roman" w:cs="Times New Roman"/>
          <w:color w:val="000000" w:themeColor="text1"/>
        </w:rPr>
      </w:pPr>
    </w:p>
    <w:p w14:paraId="51450596" w14:textId="38B1D994" w:rsidR="00F4017C" w:rsidRDefault="00D249E4" w:rsidP="00B42D87">
      <w:pPr>
        <w:spacing w:line="276" w:lineRule="auto"/>
        <w:rPr>
          <w:rFonts w:ascii="Times New Roman" w:eastAsia="Times New Roman" w:hAnsi="Times New Roman" w:cs="Times New Roman"/>
          <w:color w:val="000000" w:themeColor="text1"/>
        </w:rPr>
      </w:pPr>
      <w:hyperlink r:id="rId9" w:history="1">
        <w:r w:rsidR="00F4017C" w:rsidRPr="00D23A7F">
          <w:rPr>
            <w:rStyle w:val="Hyperlink"/>
            <w:rFonts w:ascii="Times New Roman" w:eastAsia="Times New Roman" w:hAnsi="Times New Roman" w:cs="Times New Roman"/>
          </w:rPr>
          <w:t>https://www.thetaskforceactionfund.org/current_action/tell-your-senators-pass-the-equality-act/</w:t>
        </w:r>
      </w:hyperlink>
    </w:p>
    <w:p w14:paraId="6E4AC774" w14:textId="77777777" w:rsidR="00F4017C" w:rsidRPr="00B42D87" w:rsidRDefault="00F4017C" w:rsidP="00B42D87">
      <w:pPr>
        <w:spacing w:line="276" w:lineRule="auto"/>
        <w:rPr>
          <w:rFonts w:ascii="Times New Roman" w:eastAsia="Times New Roman" w:hAnsi="Times New Roman" w:cs="Times New Roman"/>
          <w:color w:val="000000" w:themeColor="text1"/>
        </w:rPr>
      </w:pPr>
    </w:p>
    <w:p w14:paraId="122B97C0" w14:textId="6E3ABA88" w:rsidR="00B42D87" w:rsidRDefault="00F4017C" w:rsidP="00B42D87">
      <w:pPr>
        <w:spacing w:line="276" w:lineRule="auto"/>
        <w:rPr>
          <w:b/>
          <w:bCs/>
          <w:color w:val="000000" w:themeColor="text1"/>
        </w:rPr>
      </w:pPr>
      <w:r>
        <w:rPr>
          <w:b/>
          <w:bCs/>
          <w:color w:val="000000" w:themeColor="text1"/>
        </w:rPr>
        <w:t>More on Equality Act</w:t>
      </w:r>
    </w:p>
    <w:p w14:paraId="6C088913" w14:textId="5757584D" w:rsidR="00F4017C" w:rsidRDefault="00D249E4" w:rsidP="00F4017C">
      <w:pPr>
        <w:rPr>
          <w:rFonts w:ascii="Times New Roman" w:eastAsia="Times New Roman" w:hAnsi="Times New Roman" w:cs="Times New Roman"/>
        </w:rPr>
      </w:pPr>
      <w:hyperlink r:id="rId10" w:history="1">
        <w:r w:rsidR="00F4017C" w:rsidRPr="00D23A7F">
          <w:rPr>
            <w:rStyle w:val="Hyperlink"/>
            <w:rFonts w:ascii="Times New Roman" w:eastAsia="Times New Roman" w:hAnsi="Times New Roman" w:cs="Times New Roman"/>
          </w:rPr>
          <w:t>https://www.congress.gov/bill/116th-congress/house-bill/5/text</w:t>
        </w:r>
      </w:hyperlink>
    </w:p>
    <w:p w14:paraId="509B84DA" w14:textId="16DF7620" w:rsidR="00F4017C" w:rsidRPr="00F4017C" w:rsidRDefault="00D249E4" w:rsidP="00F4017C">
      <w:pPr>
        <w:rPr>
          <w:rFonts w:ascii="Times New Roman" w:eastAsia="Times New Roman" w:hAnsi="Times New Roman" w:cs="Times New Roman"/>
          <w:color w:val="0000FF"/>
          <w:u w:val="single"/>
        </w:rPr>
      </w:pPr>
      <w:hyperlink r:id="rId11" w:history="1">
        <w:r w:rsidR="00F4017C" w:rsidRPr="00F4017C">
          <w:rPr>
            <w:rStyle w:val="Hyperlink"/>
            <w:rFonts w:ascii="Times New Roman" w:eastAsia="Times New Roman" w:hAnsi="Times New Roman" w:cs="Times New Roman"/>
          </w:rPr>
          <w:t>https://www.hrc.org/equalityact/</w:t>
        </w:r>
      </w:hyperlink>
    </w:p>
    <w:sectPr w:rsidR="00F4017C" w:rsidRPr="00F4017C" w:rsidSect="0079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7EB1"/>
    <w:multiLevelType w:val="hybridMultilevel"/>
    <w:tmpl w:val="3D3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E43FA"/>
    <w:multiLevelType w:val="hybridMultilevel"/>
    <w:tmpl w:val="D90C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0B"/>
    <w:rsid w:val="001424CA"/>
    <w:rsid w:val="0031100B"/>
    <w:rsid w:val="00632710"/>
    <w:rsid w:val="00796E88"/>
    <w:rsid w:val="0097205F"/>
    <w:rsid w:val="00B42D87"/>
    <w:rsid w:val="00B51884"/>
    <w:rsid w:val="00B80C8C"/>
    <w:rsid w:val="00C2450D"/>
    <w:rsid w:val="00C24F90"/>
    <w:rsid w:val="00D249E4"/>
    <w:rsid w:val="00E14010"/>
    <w:rsid w:val="00F4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B4A8A"/>
  <w15:chartTrackingRefBased/>
  <w15:docId w15:val="{DFCA9011-8182-8640-B19D-37EE0D75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0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100B"/>
  </w:style>
  <w:style w:type="character" w:styleId="Hyperlink">
    <w:name w:val="Hyperlink"/>
    <w:basedOn w:val="DefaultParagraphFont"/>
    <w:uiPriority w:val="99"/>
    <w:unhideWhenUsed/>
    <w:rsid w:val="0031100B"/>
    <w:rPr>
      <w:color w:val="0000FF"/>
      <w:u w:val="single"/>
    </w:rPr>
  </w:style>
  <w:style w:type="character" w:styleId="Strong">
    <w:name w:val="Strong"/>
    <w:basedOn w:val="DefaultParagraphFont"/>
    <w:uiPriority w:val="22"/>
    <w:qFormat/>
    <w:rsid w:val="0097205F"/>
    <w:rPr>
      <w:b/>
      <w:bCs/>
    </w:rPr>
  </w:style>
  <w:style w:type="character" w:styleId="FollowedHyperlink">
    <w:name w:val="FollowedHyperlink"/>
    <w:basedOn w:val="DefaultParagraphFont"/>
    <w:uiPriority w:val="99"/>
    <w:semiHidden/>
    <w:unhideWhenUsed/>
    <w:rsid w:val="00B42D87"/>
    <w:rPr>
      <w:color w:val="954F72" w:themeColor="followedHyperlink"/>
      <w:u w:val="single"/>
    </w:rPr>
  </w:style>
  <w:style w:type="character" w:styleId="UnresolvedMention">
    <w:name w:val="Unresolved Mention"/>
    <w:basedOn w:val="DefaultParagraphFont"/>
    <w:uiPriority w:val="99"/>
    <w:semiHidden/>
    <w:unhideWhenUsed/>
    <w:rsid w:val="00F4017C"/>
    <w:rPr>
      <w:color w:val="605E5C"/>
      <w:shd w:val="clear" w:color="auto" w:fill="E1DFDD"/>
    </w:rPr>
  </w:style>
  <w:style w:type="paragraph" w:styleId="BalloonText">
    <w:name w:val="Balloon Text"/>
    <w:basedOn w:val="Normal"/>
    <w:link w:val="BalloonTextChar"/>
    <w:uiPriority w:val="99"/>
    <w:semiHidden/>
    <w:unhideWhenUsed/>
    <w:rsid w:val="006327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710"/>
    <w:rPr>
      <w:rFonts w:ascii="Times New Roman" w:hAnsi="Times New Roman" w:cs="Times New Roman"/>
      <w:sz w:val="18"/>
      <w:szCs w:val="18"/>
    </w:rPr>
  </w:style>
  <w:style w:type="paragraph" w:styleId="ListParagraph">
    <w:name w:val="List Paragraph"/>
    <w:basedOn w:val="Normal"/>
    <w:uiPriority w:val="34"/>
    <w:qFormat/>
    <w:rsid w:val="00D2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2425">
      <w:bodyDiv w:val="1"/>
      <w:marLeft w:val="0"/>
      <w:marRight w:val="0"/>
      <w:marTop w:val="0"/>
      <w:marBottom w:val="0"/>
      <w:divBdr>
        <w:top w:val="none" w:sz="0" w:space="0" w:color="auto"/>
        <w:left w:val="none" w:sz="0" w:space="0" w:color="auto"/>
        <w:bottom w:val="none" w:sz="0" w:space="0" w:color="auto"/>
        <w:right w:val="none" w:sz="0" w:space="0" w:color="auto"/>
      </w:divBdr>
    </w:div>
    <w:div w:id="876160690">
      <w:bodyDiv w:val="1"/>
      <w:marLeft w:val="0"/>
      <w:marRight w:val="0"/>
      <w:marTop w:val="0"/>
      <w:marBottom w:val="0"/>
      <w:divBdr>
        <w:top w:val="none" w:sz="0" w:space="0" w:color="auto"/>
        <w:left w:val="none" w:sz="0" w:space="0" w:color="auto"/>
        <w:bottom w:val="none" w:sz="0" w:space="0" w:color="auto"/>
        <w:right w:val="none" w:sz="0" w:space="0" w:color="auto"/>
      </w:divBdr>
    </w:div>
    <w:div w:id="1251043007">
      <w:bodyDiv w:val="1"/>
      <w:marLeft w:val="0"/>
      <w:marRight w:val="0"/>
      <w:marTop w:val="0"/>
      <w:marBottom w:val="0"/>
      <w:divBdr>
        <w:top w:val="none" w:sz="0" w:space="0" w:color="auto"/>
        <w:left w:val="none" w:sz="0" w:space="0" w:color="auto"/>
        <w:bottom w:val="none" w:sz="0" w:space="0" w:color="auto"/>
        <w:right w:val="none" w:sz="0" w:space="0" w:color="auto"/>
      </w:divBdr>
    </w:div>
    <w:div w:id="1787306892">
      <w:bodyDiv w:val="1"/>
      <w:marLeft w:val="0"/>
      <w:marRight w:val="0"/>
      <w:marTop w:val="0"/>
      <w:marBottom w:val="0"/>
      <w:divBdr>
        <w:top w:val="none" w:sz="0" w:space="0" w:color="auto"/>
        <w:left w:val="none" w:sz="0" w:space="0" w:color="auto"/>
        <w:bottom w:val="none" w:sz="0" w:space="0" w:color="auto"/>
        <w:right w:val="none" w:sz="0" w:space="0" w:color="auto"/>
      </w:divBdr>
    </w:div>
    <w:div w:id="1809660849">
      <w:bodyDiv w:val="1"/>
      <w:marLeft w:val="0"/>
      <w:marRight w:val="0"/>
      <w:marTop w:val="0"/>
      <w:marBottom w:val="0"/>
      <w:divBdr>
        <w:top w:val="none" w:sz="0" w:space="0" w:color="auto"/>
        <w:left w:val="none" w:sz="0" w:space="0" w:color="auto"/>
        <w:bottom w:val="none" w:sz="0" w:space="0" w:color="auto"/>
        <w:right w:val="none" w:sz="0" w:space="0" w:color="auto"/>
      </w:divBdr>
    </w:div>
    <w:div w:id="1829974739">
      <w:bodyDiv w:val="1"/>
      <w:marLeft w:val="0"/>
      <w:marRight w:val="0"/>
      <w:marTop w:val="0"/>
      <w:marBottom w:val="0"/>
      <w:divBdr>
        <w:top w:val="none" w:sz="0" w:space="0" w:color="auto"/>
        <w:left w:val="none" w:sz="0" w:space="0" w:color="auto"/>
        <w:bottom w:val="none" w:sz="0" w:space="0" w:color="auto"/>
        <w:right w:val="none" w:sz="0" w:space="0" w:color="auto"/>
      </w:divBdr>
    </w:div>
    <w:div w:id="1867718277">
      <w:bodyDiv w:val="1"/>
      <w:marLeft w:val="0"/>
      <w:marRight w:val="0"/>
      <w:marTop w:val="0"/>
      <w:marBottom w:val="0"/>
      <w:divBdr>
        <w:top w:val="none" w:sz="0" w:space="0" w:color="auto"/>
        <w:left w:val="none" w:sz="0" w:space="0" w:color="auto"/>
        <w:bottom w:val="none" w:sz="0" w:space="0" w:color="auto"/>
        <w:right w:val="none" w:sz="0" w:space="0" w:color="auto"/>
      </w:divBdr>
    </w:div>
    <w:div w:id="20229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askforce.org/allofmeallthe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c.org/equality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c.org/equalityact/" TargetMode="External"/><Relationship Id="rId11" Type="http://schemas.openxmlformats.org/officeDocument/2006/relationships/hyperlink" Target="https://www.hrc.org/equalityact/" TargetMode="External"/><Relationship Id="rId5" Type="http://schemas.openxmlformats.org/officeDocument/2006/relationships/image" Target="media/image1.png"/><Relationship Id="rId10" Type="http://schemas.openxmlformats.org/officeDocument/2006/relationships/hyperlink" Target="https://www.congress.gov/bill/116th-congress/house-bill/5/text" TargetMode="External"/><Relationship Id="rId4" Type="http://schemas.openxmlformats.org/officeDocument/2006/relationships/webSettings" Target="webSettings.xml"/><Relationship Id="rId9" Type="http://schemas.openxmlformats.org/officeDocument/2006/relationships/hyperlink" Target="https://www.thetaskforceactionfund.org/current_action/tell-your-senators-pass-the-equalit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Julca</dc:creator>
  <cp:keywords/>
  <dc:description/>
  <cp:lastModifiedBy>Leandro Rodriguez</cp:lastModifiedBy>
  <cp:revision>5</cp:revision>
  <dcterms:created xsi:type="dcterms:W3CDTF">2020-04-13T20:15:00Z</dcterms:created>
  <dcterms:modified xsi:type="dcterms:W3CDTF">2020-05-13T23:53:00Z</dcterms:modified>
</cp:coreProperties>
</file>